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13" w:rsidRPr="002B1213" w:rsidRDefault="00F67CEE" w:rsidP="002B1213">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95350" cy="895350"/>
            <wp:effectExtent l="0" t="0" r="0" b="0"/>
            <wp:wrapSquare wrapText="bothSides"/>
            <wp:docPr id="2056" name="Picture 8" descr="Demographics - Category Color Pink"/>
            <wp:cNvGraphicFramePr/>
            <a:graphic xmlns:a="http://schemas.openxmlformats.org/drawingml/2006/main">
              <a:graphicData uri="http://schemas.openxmlformats.org/drawingml/2006/picture">
                <pic:pic xmlns:pic="http://schemas.openxmlformats.org/drawingml/2006/picture">
                  <pic:nvPicPr>
                    <pic:cNvPr id="2056" name="Picture 8" descr="Demographics - Category Color Pink"/>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r w:rsidR="002B1213" w:rsidRPr="002B1213">
        <w:rPr>
          <w:rFonts w:ascii="Arial" w:eastAsia="Times New Roman" w:hAnsi="Arial" w:cs="Arial"/>
          <w:b/>
          <w:bCs/>
          <w:color w:val="000000"/>
          <w:kern w:val="36"/>
          <w:sz w:val="55"/>
          <w:szCs w:val="55"/>
        </w:rPr>
        <w:t>Emerging Adulthood</w:t>
      </w:r>
    </w:p>
    <w:p w:rsidR="006D6C7E" w:rsidRDefault="006D6C7E" w:rsidP="002B1213">
      <w:pPr>
        <w:shd w:val="clear" w:color="auto" w:fill="FFFFFF"/>
        <w:spacing w:after="0" w:line="240" w:lineRule="auto"/>
        <w:rPr>
          <w:rFonts w:ascii="Arial" w:eastAsia="Times New Roman" w:hAnsi="Arial" w:cs="Arial"/>
          <w:color w:val="303030"/>
          <w:sz w:val="20"/>
          <w:szCs w:val="20"/>
        </w:rPr>
      </w:pPr>
    </w:p>
    <w:p w:rsidR="006D6C7E" w:rsidRDefault="006D6C7E" w:rsidP="002B1213">
      <w:pPr>
        <w:shd w:val="clear" w:color="auto" w:fill="FFFFFF"/>
        <w:spacing w:after="0" w:line="240" w:lineRule="auto"/>
        <w:rPr>
          <w:rFonts w:ascii="Arial" w:eastAsia="Times New Roman" w:hAnsi="Arial" w:cs="Arial"/>
          <w:color w:val="303030"/>
          <w:sz w:val="20"/>
          <w:szCs w:val="20"/>
        </w:rPr>
      </w:pPr>
    </w:p>
    <w:p w:rsidR="006D6C7E" w:rsidRDefault="006D6C7E" w:rsidP="002B1213">
      <w:pPr>
        <w:shd w:val="clear" w:color="auto" w:fill="FFFFFF"/>
        <w:spacing w:after="0" w:line="240" w:lineRule="auto"/>
        <w:rPr>
          <w:rFonts w:ascii="Arial" w:eastAsia="Times New Roman" w:hAnsi="Arial" w:cs="Arial"/>
          <w:color w:val="303030"/>
          <w:sz w:val="20"/>
          <w:szCs w:val="20"/>
        </w:rPr>
      </w:pP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bookmarkStart w:id="0" w:name="_GoBack"/>
      <w:bookmarkEnd w:id="0"/>
      <w:r w:rsidRPr="002B1213">
        <w:rPr>
          <w:rFonts w:ascii="Arial" w:eastAsia="Times New Roman" w:hAnsi="Arial" w:cs="Arial"/>
          <w:color w:val="303030"/>
          <w:sz w:val="20"/>
          <w:szCs w:val="20"/>
        </w:rPr>
        <w:t xml:space="preserve">Led by the work of the psychology professor Jeffrey </w:t>
      </w:r>
      <w:proofErr w:type="spellStart"/>
      <w:r w:rsidRPr="002B1213">
        <w:rPr>
          <w:rFonts w:ascii="Arial" w:eastAsia="Times New Roman" w:hAnsi="Arial" w:cs="Arial"/>
          <w:color w:val="303030"/>
          <w:sz w:val="20"/>
          <w:szCs w:val="20"/>
        </w:rPr>
        <w:t>Arnet</w:t>
      </w:r>
      <w:proofErr w:type="spellEnd"/>
      <w:r w:rsidRPr="002B1213">
        <w:rPr>
          <w:rFonts w:ascii="Arial" w:eastAsia="Times New Roman" w:hAnsi="Arial" w:cs="Arial"/>
          <w:color w:val="303030"/>
          <w:sz w:val="20"/>
          <w:szCs w:val="20"/>
        </w:rPr>
        <w:t xml:space="preserve"> and his article "</w:t>
      </w:r>
      <w:hyperlink r:id="rId5" w:tgtFrame="_top" w:history="1">
        <w:r w:rsidRPr="002B1213">
          <w:rPr>
            <w:rFonts w:ascii="Arial" w:eastAsia="Times New Roman" w:hAnsi="Arial" w:cs="Arial"/>
            <w:color w:val="1A90B4"/>
            <w:sz w:val="20"/>
            <w:szCs w:val="20"/>
            <w:u w:val="single"/>
          </w:rPr>
          <w:t>Emerging Adulthood: A Theory of Development from the Late Teens Through the Twenties</w:t>
        </w:r>
      </w:hyperlink>
      <w:r w:rsidRPr="002B1213">
        <w:rPr>
          <w:rFonts w:ascii="Arial" w:eastAsia="Times New Roman" w:hAnsi="Arial" w:cs="Arial"/>
          <w:color w:val="303030"/>
          <w:sz w:val="20"/>
          <w:szCs w:val="20"/>
        </w:rPr>
        <w:t>," emerging adulthood considers the period from the late teens through twenties as a time of distinct psychological and behavioral characteristics that in more affluent countries may result in individuals’ taking longer to move out of their parents’ home, involve themselves in a career, get married, and have children. [</w:t>
      </w:r>
      <w:hyperlink r:id="rId6" w:anchor="Notes and Resources" w:history="1">
        <w:r w:rsidRPr="002B1213">
          <w:rPr>
            <w:rFonts w:ascii="Arial" w:eastAsia="Times New Roman" w:hAnsi="Arial" w:cs="Arial"/>
            <w:color w:val="1A90B4"/>
            <w:sz w:val="20"/>
            <w:szCs w:val="20"/>
            <w:u w:val="single"/>
          </w:rPr>
          <w:t>1</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B1213">
        <w:rPr>
          <w:rFonts w:ascii="Arial" w:eastAsia="Times New Roman" w:hAnsi="Arial" w:cs="Arial"/>
          <w:b/>
          <w:bCs/>
          <w:color w:val="303030"/>
          <w:sz w:val="27"/>
          <w:szCs w:val="27"/>
        </w:rPr>
        <w:t>How It’s Developing</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proofErr w:type="spellStart"/>
      <w:r w:rsidRPr="002B1213">
        <w:rPr>
          <w:rFonts w:ascii="Arial" w:eastAsia="Times New Roman" w:hAnsi="Arial" w:cs="Arial"/>
          <w:color w:val="303030"/>
          <w:sz w:val="20"/>
          <w:szCs w:val="20"/>
        </w:rPr>
        <w:t>Arnet’s</w:t>
      </w:r>
      <w:proofErr w:type="spellEnd"/>
      <w:r w:rsidRPr="002B1213">
        <w:rPr>
          <w:rFonts w:ascii="Arial" w:eastAsia="Times New Roman" w:hAnsi="Arial" w:cs="Arial"/>
          <w:color w:val="303030"/>
          <w:sz w:val="20"/>
          <w:szCs w:val="20"/>
        </w:rPr>
        <w:t xml:space="preserve"> concept of emerging adulthood grows out of his observations of young people from both Generation X and the </w:t>
      </w:r>
      <w:proofErr w:type="gramStart"/>
      <w:r w:rsidRPr="002B1213">
        <w:rPr>
          <w:rFonts w:ascii="Arial" w:eastAsia="Times New Roman" w:hAnsi="Arial" w:cs="Arial"/>
          <w:color w:val="303030"/>
          <w:sz w:val="20"/>
          <w:szCs w:val="20"/>
        </w:rPr>
        <w:t>Millennial</w:t>
      </w:r>
      <w:proofErr w:type="gramEnd"/>
      <w:r w:rsidRPr="002B1213">
        <w:rPr>
          <w:rFonts w:ascii="Arial" w:eastAsia="Times New Roman" w:hAnsi="Arial" w:cs="Arial"/>
          <w:color w:val="303030"/>
          <w:sz w:val="20"/>
          <w:szCs w:val="20"/>
        </w:rPr>
        <w:t xml:space="preserve"> generation and the ways that society, culture, and the economy have created a new period of development. [</w:t>
      </w:r>
      <w:hyperlink r:id="rId7" w:anchor="Notes and Resources" w:history="1">
        <w:r w:rsidRPr="002B1213">
          <w:rPr>
            <w:rFonts w:ascii="Arial" w:eastAsia="Times New Roman" w:hAnsi="Arial" w:cs="Arial"/>
            <w:color w:val="1A90B4"/>
            <w:sz w:val="20"/>
            <w:szCs w:val="20"/>
            <w:u w:val="single"/>
          </w:rPr>
          <w:t>2</w:t>
        </w:r>
      </w:hyperlink>
      <w:r w:rsidRPr="002B1213">
        <w:rPr>
          <w:rFonts w:ascii="Arial" w:eastAsia="Times New Roman" w:hAnsi="Arial" w:cs="Arial"/>
          <w:color w:val="303030"/>
          <w:sz w:val="20"/>
          <w:szCs w:val="20"/>
        </w:rPr>
        <w:t>] Anecdotes and data point to individuals taking longer to achieve sociologists’ five milestones of adulthood – completing school, leaving home, becoming financially independent, marrying, and having a child. [</w:t>
      </w:r>
      <w:hyperlink r:id="rId8" w:anchor="Notes and Resources" w:history="1">
        <w:r w:rsidRPr="002B1213">
          <w:rPr>
            <w:rFonts w:ascii="Arial" w:eastAsia="Times New Roman" w:hAnsi="Arial" w:cs="Arial"/>
            <w:color w:val="1A90B4"/>
            <w:sz w:val="20"/>
            <w:szCs w:val="20"/>
            <w:u w:val="single"/>
          </w:rPr>
          <w:t>3</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At the same time, some scientists are exploring biological reasons behind this distinctive period of life, connecting perceived ambivalence and delayed decision-making in twenty-somethings to new findings in brain development. [</w:t>
      </w:r>
      <w:hyperlink r:id="rId9" w:anchor="Notes and Resources" w:history="1">
        <w:r w:rsidRPr="002B1213">
          <w:rPr>
            <w:rFonts w:ascii="Arial" w:eastAsia="Times New Roman" w:hAnsi="Arial" w:cs="Arial"/>
            <w:color w:val="1A90B4"/>
            <w:sz w:val="20"/>
            <w:szCs w:val="20"/>
            <w:u w:val="single"/>
          </w:rPr>
          <w:t>4</w:t>
        </w:r>
      </w:hyperlink>
      <w:r w:rsidRPr="002B1213">
        <w:rPr>
          <w:rFonts w:ascii="Arial" w:eastAsia="Times New Roman" w:hAnsi="Arial" w:cs="Arial"/>
          <w:color w:val="303030"/>
          <w:sz w:val="20"/>
          <w:szCs w:val="20"/>
        </w:rPr>
        <w:t>]</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The emerging adulthood trend is often associated with circumstances brought on by the recent economic downturn, which provided fewer entry-level jobs for young people, limited housing options, and influenced some young people to extend their academic studies. Even as the economy recovers behaviors for this demographic may not change. The competition within the high-end labor market is stiff, a result of several graduating classes’ competition for positions, the extended careers of those already in the workforce, greater demand for education and experience (e.g. post-graduate internships), more job movement, and candidates’ own preference for stimulating, creative and even glamorous jobs. [</w:t>
      </w:r>
      <w:hyperlink r:id="rId10" w:anchor="Notes and Resources" w:history="1">
        <w:r w:rsidRPr="002B1213">
          <w:rPr>
            <w:rFonts w:ascii="Arial" w:eastAsia="Times New Roman" w:hAnsi="Arial" w:cs="Arial"/>
            <w:color w:val="1A90B4"/>
            <w:sz w:val="20"/>
            <w:szCs w:val="20"/>
            <w:u w:val="single"/>
          </w:rPr>
          <w:t>5</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B1213">
        <w:rPr>
          <w:rFonts w:ascii="Arial" w:eastAsia="Times New Roman" w:hAnsi="Arial" w:cs="Arial"/>
          <w:b/>
          <w:bCs/>
          <w:color w:val="303030"/>
          <w:sz w:val="27"/>
          <w:szCs w:val="27"/>
        </w:rPr>
        <w:t>Why It Matters</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Publishing trends, including the “New Adult” genre, demonstrate the opportunities for services and products marketed to those in between established young adult and adult categories. Libraries might also begin thinking about programs and services that capitalize on this demographic, borrowing some ideas from young adult services (video games, media, socials) and adult services (career resources) to appeal to this category.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In the same way that adolescence became a recognized developmental stage, leading to distinctions in education, health care, social services, and laws that addressed the specific experiences of teenagers, emerging adulthood may come to be recognized as a distinct developmental stage and warrant similar distinctive accommodations. [</w:t>
      </w:r>
      <w:hyperlink r:id="rId11" w:anchor="Notes and Resources" w:history="1">
        <w:r w:rsidRPr="002B1213">
          <w:rPr>
            <w:rFonts w:ascii="Arial" w:eastAsia="Times New Roman" w:hAnsi="Arial" w:cs="Arial"/>
            <w:color w:val="1A90B4"/>
            <w:sz w:val="20"/>
            <w:szCs w:val="20"/>
            <w:u w:val="single"/>
          </w:rPr>
          <w:t>6</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Libraries and librarians interested in connecting with young people in their 20s may be able to capitalize on existing relationships with older adults, especially if, as some research suggests, younger generations experiencing “emerging adulthood” still communicate with and are influenced by their parents. [</w:t>
      </w:r>
      <w:hyperlink r:id="rId12" w:anchor="Notes and Resources" w:history="1">
        <w:r w:rsidRPr="002B1213">
          <w:rPr>
            <w:rFonts w:ascii="Arial" w:eastAsia="Times New Roman" w:hAnsi="Arial" w:cs="Arial"/>
            <w:color w:val="1A90B4"/>
            <w:sz w:val="20"/>
            <w:szCs w:val="20"/>
            <w:u w:val="single"/>
          </w:rPr>
          <w:t>7</w:t>
        </w:r>
      </w:hyperlink>
      <w:r w:rsidRPr="002B1213">
        <w:rPr>
          <w:rFonts w:ascii="Arial" w:eastAsia="Times New Roman" w:hAnsi="Arial" w:cs="Arial"/>
          <w:color w:val="303030"/>
          <w:sz w:val="20"/>
          <w:szCs w:val="20"/>
        </w:rPr>
        <w:t>]</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Significant changes in home ownership, educational attainment, workforce entry, and even family planning patterns could significantly disrupt communities’ composition and the funding sources that communities generate. If emerging adulthood has a significant enough effect on these patterns, libraries may need to adjust their services and plans. </w:t>
      </w:r>
    </w:p>
    <w:p w:rsidR="006D6C7E" w:rsidRDefault="006D6C7E">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2B1213" w:rsidRPr="002B1213" w:rsidRDefault="002B1213" w:rsidP="002B1213">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B1213">
        <w:rPr>
          <w:rFonts w:ascii="Arial" w:eastAsia="Times New Roman" w:hAnsi="Arial" w:cs="Arial"/>
          <w:b/>
          <w:bCs/>
          <w:color w:val="303030"/>
          <w:sz w:val="27"/>
          <w:szCs w:val="27"/>
        </w:rPr>
        <w:lastRenderedPageBreak/>
        <w:t>Notes and Resources</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[1] “Is ‘Emerging Adulthood’ Really a Thing? The Secret History of Words for Young People.” Jeff Sherwood. </w:t>
      </w:r>
      <w:r w:rsidRPr="002B1213">
        <w:rPr>
          <w:rFonts w:ascii="Arial" w:eastAsia="Times New Roman" w:hAnsi="Arial" w:cs="Arial"/>
          <w:i/>
          <w:iCs/>
          <w:color w:val="303030"/>
          <w:sz w:val="20"/>
          <w:szCs w:val="20"/>
        </w:rPr>
        <w:t>Slate</w:t>
      </w:r>
      <w:r w:rsidRPr="002B1213">
        <w:rPr>
          <w:rFonts w:ascii="Arial" w:eastAsia="Times New Roman" w:hAnsi="Arial" w:cs="Arial"/>
          <w:color w:val="303030"/>
          <w:sz w:val="20"/>
          <w:szCs w:val="20"/>
        </w:rPr>
        <w:t>. August 22, 2014. Available from </w:t>
      </w:r>
      <w:hyperlink r:id="rId13" w:history="1">
        <w:r w:rsidRPr="002B1213">
          <w:rPr>
            <w:rFonts w:ascii="Arial" w:eastAsia="Times New Roman" w:hAnsi="Arial" w:cs="Arial"/>
            <w:color w:val="1A90B4"/>
            <w:sz w:val="20"/>
            <w:szCs w:val="20"/>
            <w:u w:val="single"/>
          </w:rPr>
          <w:t>http://www.slate.com/blogs/lexicon_valley/2014/08/22/emerging_adults_tee...</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xml:space="preserve">[2] “The Neuroscience of 20-Somethings.” Ferris </w:t>
      </w:r>
      <w:proofErr w:type="spellStart"/>
      <w:r w:rsidRPr="002B1213">
        <w:rPr>
          <w:rFonts w:ascii="Arial" w:eastAsia="Times New Roman" w:hAnsi="Arial" w:cs="Arial"/>
          <w:color w:val="303030"/>
          <w:sz w:val="20"/>
          <w:szCs w:val="20"/>
        </w:rPr>
        <w:t>Jabr</w:t>
      </w:r>
      <w:proofErr w:type="spellEnd"/>
      <w:r w:rsidRPr="002B1213">
        <w:rPr>
          <w:rFonts w:ascii="Arial" w:eastAsia="Times New Roman" w:hAnsi="Arial" w:cs="Arial"/>
          <w:color w:val="303030"/>
          <w:sz w:val="20"/>
          <w:szCs w:val="20"/>
        </w:rPr>
        <w:t>. </w:t>
      </w:r>
      <w:r w:rsidRPr="002B1213">
        <w:rPr>
          <w:rFonts w:ascii="Arial" w:eastAsia="Times New Roman" w:hAnsi="Arial" w:cs="Arial"/>
          <w:i/>
          <w:iCs/>
          <w:color w:val="303030"/>
          <w:sz w:val="20"/>
          <w:szCs w:val="20"/>
        </w:rPr>
        <w:t>Scientific American</w:t>
      </w:r>
      <w:r w:rsidRPr="002B1213">
        <w:rPr>
          <w:rFonts w:ascii="Arial" w:eastAsia="Times New Roman" w:hAnsi="Arial" w:cs="Arial"/>
          <w:color w:val="303030"/>
          <w:sz w:val="20"/>
          <w:szCs w:val="20"/>
        </w:rPr>
        <w:t>. August 29, 2012. Available from</w:t>
      </w:r>
      <w:hyperlink r:id="rId14" w:history="1">
        <w:r w:rsidRPr="002B1213">
          <w:rPr>
            <w:rFonts w:ascii="Arial" w:eastAsia="Times New Roman" w:hAnsi="Arial" w:cs="Arial"/>
            <w:color w:val="1A90B4"/>
            <w:sz w:val="20"/>
            <w:szCs w:val="20"/>
            <w:u w:val="single"/>
          </w:rPr>
          <w:t>http://blogs.scientificamerican.com/brainwaves/2012/08/29/the-neuroscien...</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[3] “All Grown Up: Have You Completed the 5 Milestones of Adulthood?” Mary Anne Barone. </w:t>
      </w:r>
      <w:r w:rsidRPr="002B1213">
        <w:rPr>
          <w:rFonts w:ascii="Arial" w:eastAsia="Times New Roman" w:hAnsi="Arial" w:cs="Arial"/>
          <w:i/>
          <w:iCs/>
          <w:color w:val="303030"/>
          <w:sz w:val="20"/>
          <w:szCs w:val="20"/>
        </w:rPr>
        <w:t>The Nest</w:t>
      </w:r>
      <w:r w:rsidRPr="002B1213">
        <w:rPr>
          <w:rFonts w:ascii="Arial" w:eastAsia="Times New Roman" w:hAnsi="Arial" w:cs="Arial"/>
          <w:color w:val="303030"/>
          <w:sz w:val="20"/>
          <w:szCs w:val="20"/>
        </w:rPr>
        <w:t>. May 17, 2012. Available from </w:t>
      </w:r>
      <w:hyperlink r:id="rId15" w:history="1">
        <w:r w:rsidRPr="002B1213">
          <w:rPr>
            <w:rFonts w:ascii="Arial" w:eastAsia="Times New Roman" w:hAnsi="Arial" w:cs="Arial"/>
            <w:color w:val="1A90B4"/>
            <w:sz w:val="20"/>
            <w:szCs w:val="20"/>
            <w:u w:val="single"/>
          </w:rPr>
          <w:t>http://blog.thenest.com/2012/05/17/all-grown-up-have-you-completed-the-5...</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xml:space="preserve">[4] “The Neuroscience of 20-Somethings.” Ferris </w:t>
      </w:r>
      <w:proofErr w:type="spellStart"/>
      <w:r w:rsidRPr="002B1213">
        <w:rPr>
          <w:rFonts w:ascii="Arial" w:eastAsia="Times New Roman" w:hAnsi="Arial" w:cs="Arial"/>
          <w:color w:val="303030"/>
          <w:sz w:val="20"/>
          <w:szCs w:val="20"/>
        </w:rPr>
        <w:t>Jabr</w:t>
      </w:r>
      <w:proofErr w:type="spellEnd"/>
      <w:r w:rsidRPr="002B1213">
        <w:rPr>
          <w:rFonts w:ascii="Arial" w:eastAsia="Times New Roman" w:hAnsi="Arial" w:cs="Arial"/>
          <w:color w:val="303030"/>
          <w:sz w:val="20"/>
          <w:szCs w:val="20"/>
        </w:rPr>
        <w:t>. </w:t>
      </w:r>
      <w:r w:rsidRPr="002B1213">
        <w:rPr>
          <w:rFonts w:ascii="Arial" w:eastAsia="Times New Roman" w:hAnsi="Arial" w:cs="Arial"/>
          <w:i/>
          <w:iCs/>
          <w:color w:val="303030"/>
          <w:sz w:val="20"/>
          <w:szCs w:val="20"/>
        </w:rPr>
        <w:t>Scientific American</w:t>
      </w:r>
      <w:r w:rsidRPr="002B1213">
        <w:rPr>
          <w:rFonts w:ascii="Arial" w:eastAsia="Times New Roman" w:hAnsi="Arial" w:cs="Arial"/>
          <w:color w:val="303030"/>
          <w:sz w:val="20"/>
          <w:szCs w:val="20"/>
        </w:rPr>
        <w:t>. August 29, 2012. Available from</w:t>
      </w:r>
      <w:hyperlink r:id="rId16" w:history="1">
        <w:r w:rsidRPr="002B1213">
          <w:rPr>
            <w:rFonts w:ascii="Arial" w:eastAsia="Times New Roman" w:hAnsi="Arial" w:cs="Arial"/>
            <w:color w:val="1A90B4"/>
            <w:sz w:val="20"/>
            <w:szCs w:val="20"/>
            <w:u w:val="single"/>
          </w:rPr>
          <w:t>http://blogs.scientificamerican.com/brainwaves/2012/08/29/the-neuroscien...</w:t>
        </w:r>
      </w:hyperlink>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xml:space="preserve">[5] “Where Have the Good Men Gone?” Kay S. </w:t>
      </w:r>
      <w:proofErr w:type="spellStart"/>
      <w:r w:rsidRPr="002B1213">
        <w:rPr>
          <w:rFonts w:ascii="Arial" w:eastAsia="Times New Roman" w:hAnsi="Arial" w:cs="Arial"/>
          <w:color w:val="303030"/>
          <w:sz w:val="20"/>
          <w:szCs w:val="20"/>
        </w:rPr>
        <w:t>Hymowitz</w:t>
      </w:r>
      <w:proofErr w:type="spellEnd"/>
      <w:r w:rsidRPr="002B1213">
        <w:rPr>
          <w:rFonts w:ascii="Arial" w:eastAsia="Times New Roman" w:hAnsi="Arial" w:cs="Arial"/>
          <w:color w:val="303030"/>
          <w:sz w:val="20"/>
          <w:szCs w:val="20"/>
        </w:rPr>
        <w:t>. </w:t>
      </w:r>
      <w:r w:rsidRPr="002B1213">
        <w:rPr>
          <w:rFonts w:ascii="Arial" w:eastAsia="Times New Roman" w:hAnsi="Arial" w:cs="Arial"/>
          <w:i/>
          <w:iCs/>
          <w:color w:val="303030"/>
          <w:sz w:val="20"/>
          <w:szCs w:val="20"/>
        </w:rPr>
        <w:t>The Wall Street Journal</w:t>
      </w:r>
      <w:r w:rsidRPr="002B1213">
        <w:rPr>
          <w:rFonts w:ascii="Arial" w:eastAsia="Times New Roman" w:hAnsi="Arial" w:cs="Arial"/>
          <w:color w:val="303030"/>
          <w:sz w:val="20"/>
          <w:szCs w:val="20"/>
        </w:rPr>
        <w:t>. February 19, 2011. Available from</w:t>
      </w:r>
      <w:hyperlink r:id="rId17" w:history="1">
        <w:r w:rsidRPr="002B1213">
          <w:rPr>
            <w:rFonts w:ascii="Arial" w:eastAsia="Times New Roman" w:hAnsi="Arial" w:cs="Arial"/>
            <w:color w:val="1A90B4"/>
            <w:sz w:val="20"/>
            <w:szCs w:val="20"/>
            <w:u w:val="single"/>
          </w:rPr>
          <w:t>http://www.wsj.com/articles/SB10001424052748704409004576146321725889448</w:t>
        </w:r>
      </w:hyperlink>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[6] “What is It About 20-Somethings?” Robin Marantz Henig. </w:t>
      </w:r>
      <w:r w:rsidRPr="002B1213">
        <w:rPr>
          <w:rFonts w:ascii="Arial" w:eastAsia="Times New Roman" w:hAnsi="Arial" w:cs="Arial"/>
          <w:i/>
          <w:iCs/>
          <w:color w:val="303030"/>
          <w:sz w:val="20"/>
          <w:szCs w:val="20"/>
        </w:rPr>
        <w:t>The New York Times</w:t>
      </w:r>
      <w:r w:rsidRPr="002B1213">
        <w:rPr>
          <w:rFonts w:ascii="Arial" w:eastAsia="Times New Roman" w:hAnsi="Arial" w:cs="Arial"/>
          <w:color w:val="303030"/>
          <w:sz w:val="20"/>
          <w:szCs w:val="20"/>
        </w:rPr>
        <w:t>. August 18, 2010. Available from</w:t>
      </w:r>
      <w:hyperlink r:id="rId18" w:history="1">
        <w:r w:rsidRPr="002B1213">
          <w:rPr>
            <w:rFonts w:ascii="Arial" w:eastAsia="Times New Roman" w:hAnsi="Arial" w:cs="Arial"/>
            <w:color w:val="1A90B4"/>
            <w:sz w:val="20"/>
            <w:szCs w:val="20"/>
            <w:u w:val="single"/>
          </w:rPr>
          <w:t>http://www.nytimes.com/2010/08/22/magazine/22Adulthood-t.html</w:t>
        </w:r>
      </w:hyperlink>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w:t>
      </w:r>
    </w:p>
    <w:p w:rsidR="002B1213" w:rsidRPr="002B1213" w:rsidRDefault="002B1213" w:rsidP="002B1213">
      <w:pPr>
        <w:shd w:val="clear" w:color="auto" w:fill="FFFFFF"/>
        <w:spacing w:after="0" w:line="240" w:lineRule="auto"/>
        <w:rPr>
          <w:rFonts w:ascii="Arial" w:eastAsia="Times New Roman" w:hAnsi="Arial" w:cs="Arial"/>
          <w:color w:val="303030"/>
          <w:sz w:val="20"/>
          <w:szCs w:val="20"/>
        </w:rPr>
      </w:pPr>
      <w:r w:rsidRPr="002B1213">
        <w:rPr>
          <w:rFonts w:ascii="Arial" w:eastAsia="Times New Roman" w:hAnsi="Arial" w:cs="Arial"/>
          <w:color w:val="303030"/>
          <w:sz w:val="20"/>
          <w:szCs w:val="20"/>
        </w:rPr>
        <w:t xml:space="preserve">[7] “You Can Go Home Again.” Karen L. </w:t>
      </w:r>
      <w:proofErr w:type="spellStart"/>
      <w:r w:rsidRPr="002B1213">
        <w:rPr>
          <w:rFonts w:ascii="Arial" w:eastAsia="Times New Roman" w:hAnsi="Arial" w:cs="Arial"/>
          <w:color w:val="303030"/>
          <w:sz w:val="20"/>
          <w:szCs w:val="20"/>
        </w:rPr>
        <w:t>Fingerman</w:t>
      </w:r>
      <w:proofErr w:type="spellEnd"/>
      <w:r w:rsidRPr="002B1213">
        <w:rPr>
          <w:rFonts w:ascii="Arial" w:eastAsia="Times New Roman" w:hAnsi="Arial" w:cs="Arial"/>
          <w:color w:val="303030"/>
          <w:sz w:val="20"/>
          <w:szCs w:val="20"/>
        </w:rPr>
        <w:t xml:space="preserve"> and Frank F. </w:t>
      </w:r>
      <w:proofErr w:type="spellStart"/>
      <w:r w:rsidRPr="002B1213">
        <w:rPr>
          <w:rFonts w:ascii="Arial" w:eastAsia="Times New Roman" w:hAnsi="Arial" w:cs="Arial"/>
          <w:color w:val="303030"/>
          <w:sz w:val="20"/>
          <w:szCs w:val="20"/>
        </w:rPr>
        <w:t>Furstenburg</w:t>
      </w:r>
      <w:proofErr w:type="spellEnd"/>
      <w:r w:rsidRPr="002B1213">
        <w:rPr>
          <w:rFonts w:ascii="Arial" w:eastAsia="Times New Roman" w:hAnsi="Arial" w:cs="Arial"/>
          <w:color w:val="303030"/>
          <w:sz w:val="20"/>
          <w:szCs w:val="20"/>
        </w:rPr>
        <w:t>. </w:t>
      </w:r>
      <w:r w:rsidRPr="002B1213">
        <w:rPr>
          <w:rFonts w:ascii="Arial" w:eastAsia="Times New Roman" w:hAnsi="Arial" w:cs="Arial"/>
          <w:i/>
          <w:iCs/>
          <w:color w:val="303030"/>
          <w:sz w:val="20"/>
          <w:szCs w:val="20"/>
        </w:rPr>
        <w:t>The New York Times</w:t>
      </w:r>
      <w:r w:rsidRPr="002B1213">
        <w:rPr>
          <w:rFonts w:ascii="Arial" w:eastAsia="Times New Roman" w:hAnsi="Arial" w:cs="Arial"/>
          <w:color w:val="303030"/>
          <w:sz w:val="20"/>
          <w:szCs w:val="20"/>
        </w:rPr>
        <w:t>. May 30, 2012. Available from </w:t>
      </w:r>
      <w:hyperlink r:id="rId19" w:history="1">
        <w:r w:rsidRPr="002B1213">
          <w:rPr>
            <w:rFonts w:ascii="Arial" w:eastAsia="Times New Roman" w:hAnsi="Arial" w:cs="Arial"/>
            <w:color w:val="1A90B4"/>
            <w:sz w:val="20"/>
            <w:szCs w:val="20"/>
            <w:u w:val="single"/>
          </w:rPr>
          <w:t>http://www.nytimes.com/2012/05/31/opinion/the-parent-trap.html</w:t>
        </w:r>
      </w:hyperlink>
      <w:r w:rsidRPr="002B1213">
        <w:rPr>
          <w:rFonts w:ascii="Arial" w:eastAsia="Times New Roman" w:hAnsi="Arial" w:cs="Arial"/>
          <w:color w:val="303030"/>
          <w:sz w:val="20"/>
          <w:szCs w:val="20"/>
        </w:rPr>
        <w:t> </w:t>
      </w:r>
    </w:p>
    <w:p w:rsidR="008B6A94" w:rsidRDefault="008B6A94"/>
    <w:sectPr w:rsidR="008B6A94" w:rsidSect="00F67CE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13"/>
    <w:rsid w:val="002B1213"/>
    <w:rsid w:val="006D6C7E"/>
    <w:rsid w:val="008B6A94"/>
    <w:rsid w:val="00F6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2F82-2C53-4C6D-BA91-B978CA0B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1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B12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21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B121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1213"/>
    <w:rPr>
      <w:color w:val="0000FF"/>
      <w:u w:val="single"/>
    </w:rPr>
  </w:style>
  <w:style w:type="character" w:customStyle="1" w:styleId="apple-converted-space">
    <w:name w:val="apple-converted-space"/>
    <w:basedOn w:val="DefaultParagraphFont"/>
    <w:rsid w:val="002B1213"/>
  </w:style>
  <w:style w:type="character" w:styleId="Emphasis">
    <w:name w:val="Emphasis"/>
    <w:basedOn w:val="DefaultParagraphFont"/>
    <w:uiPriority w:val="20"/>
    <w:qFormat/>
    <w:rsid w:val="002B1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9777">
      <w:bodyDiv w:val="1"/>
      <w:marLeft w:val="0"/>
      <w:marRight w:val="0"/>
      <w:marTop w:val="0"/>
      <w:marBottom w:val="0"/>
      <w:divBdr>
        <w:top w:val="none" w:sz="0" w:space="0" w:color="auto"/>
        <w:left w:val="none" w:sz="0" w:space="0" w:color="auto"/>
        <w:bottom w:val="none" w:sz="0" w:space="0" w:color="auto"/>
        <w:right w:val="none" w:sz="0" w:space="0" w:color="auto"/>
      </w:divBdr>
      <w:divsChild>
        <w:div w:id="1268074548">
          <w:marLeft w:val="0"/>
          <w:marRight w:val="0"/>
          <w:marTop w:val="0"/>
          <w:marBottom w:val="0"/>
          <w:divBdr>
            <w:top w:val="none" w:sz="0" w:space="0" w:color="auto"/>
            <w:left w:val="none" w:sz="0" w:space="0" w:color="auto"/>
            <w:bottom w:val="none" w:sz="0" w:space="0" w:color="auto"/>
            <w:right w:val="none" w:sz="0" w:space="0" w:color="auto"/>
          </w:divBdr>
          <w:divsChild>
            <w:div w:id="516622609">
              <w:marLeft w:val="0"/>
              <w:marRight w:val="0"/>
              <w:marTop w:val="0"/>
              <w:marBottom w:val="0"/>
              <w:divBdr>
                <w:top w:val="none" w:sz="0" w:space="0" w:color="auto"/>
                <w:left w:val="none" w:sz="0" w:space="0" w:color="auto"/>
                <w:bottom w:val="none" w:sz="0" w:space="0" w:color="auto"/>
                <w:right w:val="none" w:sz="0" w:space="0" w:color="auto"/>
              </w:divBdr>
              <w:divsChild>
                <w:div w:id="2143108244">
                  <w:marLeft w:val="0"/>
                  <w:marRight w:val="0"/>
                  <w:marTop w:val="0"/>
                  <w:marBottom w:val="0"/>
                  <w:divBdr>
                    <w:top w:val="none" w:sz="0" w:space="0" w:color="auto"/>
                    <w:left w:val="none" w:sz="0" w:space="0" w:color="auto"/>
                    <w:bottom w:val="none" w:sz="0" w:space="0" w:color="auto"/>
                    <w:right w:val="none" w:sz="0" w:space="0" w:color="auto"/>
                  </w:divBdr>
                  <w:divsChild>
                    <w:div w:id="582492909">
                      <w:marLeft w:val="0"/>
                      <w:marRight w:val="0"/>
                      <w:marTop w:val="0"/>
                      <w:marBottom w:val="0"/>
                      <w:divBdr>
                        <w:top w:val="none" w:sz="0" w:space="0" w:color="auto"/>
                        <w:left w:val="none" w:sz="0" w:space="0" w:color="auto"/>
                        <w:bottom w:val="none" w:sz="0" w:space="0" w:color="auto"/>
                        <w:right w:val="none" w:sz="0" w:space="0" w:color="auto"/>
                      </w:divBdr>
                      <w:divsChild>
                        <w:div w:id="2137943129">
                          <w:marLeft w:val="0"/>
                          <w:marRight w:val="0"/>
                          <w:marTop w:val="0"/>
                          <w:marBottom w:val="0"/>
                          <w:divBdr>
                            <w:top w:val="none" w:sz="0" w:space="0" w:color="auto"/>
                            <w:left w:val="none" w:sz="0" w:space="0" w:color="auto"/>
                            <w:bottom w:val="none" w:sz="0" w:space="0" w:color="auto"/>
                            <w:right w:val="none" w:sz="0" w:space="0" w:color="auto"/>
                          </w:divBdr>
                          <w:divsChild>
                            <w:div w:id="1839807976">
                              <w:marLeft w:val="0"/>
                              <w:marRight w:val="0"/>
                              <w:marTop w:val="0"/>
                              <w:marBottom w:val="0"/>
                              <w:divBdr>
                                <w:top w:val="none" w:sz="0" w:space="0" w:color="auto"/>
                                <w:left w:val="none" w:sz="0" w:space="0" w:color="auto"/>
                                <w:bottom w:val="none" w:sz="0" w:space="0" w:color="auto"/>
                                <w:right w:val="none" w:sz="0" w:space="0" w:color="auto"/>
                              </w:divBdr>
                            </w:div>
                          </w:divsChild>
                        </w:div>
                        <w:div w:id="1186868956">
                          <w:marLeft w:val="0"/>
                          <w:marRight w:val="0"/>
                          <w:marTop w:val="0"/>
                          <w:marBottom w:val="300"/>
                          <w:divBdr>
                            <w:top w:val="none" w:sz="0" w:space="0" w:color="auto"/>
                            <w:left w:val="none" w:sz="0" w:space="0" w:color="auto"/>
                            <w:bottom w:val="none" w:sz="0" w:space="0" w:color="auto"/>
                            <w:right w:val="none" w:sz="0" w:space="0" w:color="auto"/>
                          </w:divBdr>
                          <w:divsChild>
                            <w:div w:id="1757433282">
                              <w:marLeft w:val="0"/>
                              <w:marRight w:val="0"/>
                              <w:marTop w:val="0"/>
                              <w:marBottom w:val="0"/>
                              <w:divBdr>
                                <w:top w:val="none" w:sz="0" w:space="0" w:color="auto"/>
                                <w:left w:val="none" w:sz="0" w:space="0" w:color="auto"/>
                                <w:bottom w:val="none" w:sz="0" w:space="0" w:color="auto"/>
                                <w:right w:val="none" w:sz="0" w:space="0" w:color="auto"/>
                              </w:divBdr>
                              <w:divsChild>
                                <w:div w:id="1385451752">
                                  <w:marLeft w:val="0"/>
                                  <w:marRight w:val="0"/>
                                  <w:marTop w:val="0"/>
                                  <w:marBottom w:val="0"/>
                                  <w:divBdr>
                                    <w:top w:val="none" w:sz="0" w:space="0" w:color="auto"/>
                                    <w:left w:val="none" w:sz="0" w:space="0" w:color="auto"/>
                                    <w:bottom w:val="none" w:sz="0" w:space="0" w:color="auto"/>
                                    <w:right w:val="none" w:sz="0" w:space="0" w:color="auto"/>
                                  </w:divBdr>
                                  <w:divsChild>
                                    <w:div w:id="691541081">
                                      <w:marLeft w:val="0"/>
                                      <w:marRight w:val="0"/>
                                      <w:marTop w:val="0"/>
                                      <w:marBottom w:val="0"/>
                                      <w:divBdr>
                                        <w:top w:val="none" w:sz="0" w:space="0" w:color="auto"/>
                                        <w:left w:val="none" w:sz="0" w:space="0" w:color="auto"/>
                                        <w:bottom w:val="none" w:sz="0" w:space="0" w:color="auto"/>
                                        <w:right w:val="none" w:sz="0" w:space="0" w:color="auto"/>
                                      </w:divBdr>
                                    </w:div>
                                    <w:div w:id="809858619">
                                      <w:marLeft w:val="0"/>
                                      <w:marRight w:val="0"/>
                                      <w:marTop w:val="0"/>
                                      <w:marBottom w:val="0"/>
                                      <w:divBdr>
                                        <w:top w:val="none" w:sz="0" w:space="0" w:color="auto"/>
                                        <w:left w:val="none" w:sz="0" w:space="0" w:color="auto"/>
                                        <w:bottom w:val="none" w:sz="0" w:space="0" w:color="auto"/>
                                        <w:right w:val="none" w:sz="0" w:space="0" w:color="auto"/>
                                      </w:divBdr>
                                    </w:div>
                                    <w:div w:id="1775513143">
                                      <w:marLeft w:val="0"/>
                                      <w:marRight w:val="0"/>
                                      <w:marTop w:val="0"/>
                                      <w:marBottom w:val="0"/>
                                      <w:divBdr>
                                        <w:top w:val="none" w:sz="0" w:space="0" w:color="auto"/>
                                        <w:left w:val="none" w:sz="0" w:space="0" w:color="auto"/>
                                        <w:bottom w:val="none" w:sz="0" w:space="0" w:color="auto"/>
                                        <w:right w:val="none" w:sz="0" w:space="0" w:color="auto"/>
                                      </w:divBdr>
                                    </w:div>
                                    <w:div w:id="174271840">
                                      <w:marLeft w:val="0"/>
                                      <w:marRight w:val="0"/>
                                      <w:marTop w:val="0"/>
                                      <w:marBottom w:val="0"/>
                                      <w:divBdr>
                                        <w:top w:val="none" w:sz="0" w:space="0" w:color="auto"/>
                                        <w:left w:val="none" w:sz="0" w:space="0" w:color="auto"/>
                                        <w:bottom w:val="none" w:sz="0" w:space="0" w:color="auto"/>
                                        <w:right w:val="none" w:sz="0" w:space="0" w:color="auto"/>
                                      </w:divBdr>
                                    </w:div>
                                    <w:div w:id="13041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4504">
                              <w:marLeft w:val="0"/>
                              <w:marRight w:val="0"/>
                              <w:marTop w:val="0"/>
                              <w:marBottom w:val="0"/>
                              <w:divBdr>
                                <w:top w:val="none" w:sz="0" w:space="0" w:color="auto"/>
                                <w:left w:val="none" w:sz="0" w:space="0" w:color="auto"/>
                                <w:bottom w:val="none" w:sz="0" w:space="0" w:color="auto"/>
                                <w:right w:val="none" w:sz="0" w:space="0" w:color="auto"/>
                              </w:divBdr>
                              <w:divsChild>
                                <w:div w:id="1803383954">
                                  <w:marLeft w:val="0"/>
                                  <w:marRight w:val="0"/>
                                  <w:marTop w:val="0"/>
                                  <w:marBottom w:val="0"/>
                                  <w:divBdr>
                                    <w:top w:val="none" w:sz="0" w:space="0" w:color="auto"/>
                                    <w:left w:val="none" w:sz="0" w:space="0" w:color="auto"/>
                                    <w:bottom w:val="none" w:sz="0" w:space="0" w:color="auto"/>
                                    <w:right w:val="none" w:sz="0" w:space="0" w:color="auto"/>
                                  </w:divBdr>
                                  <w:divsChild>
                                    <w:div w:id="406466272">
                                      <w:marLeft w:val="0"/>
                                      <w:marRight w:val="0"/>
                                      <w:marTop w:val="0"/>
                                      <w:marBottom w:val="0"/>
                                      <w:divBdr>
                                        <w:top w:val="none" w:sz="0" w:space="0" w:color="auto"/>
                                        <w:left w:val="none" w:sz="0" w:space="0" w:color="auto"/>
                                        <w:bottom w:val="none" w:sz="0" w:space="0" w:color="auto"/>
                                        <w:right w:val="none" w:sz="0" w:space="0" w:color="auto"/>
                                      </w:divBdr>
                                    </w:div>
                                    <w:div w:id="1447388537">
                                      <w:marLeft w:val="0"/>
                                      <w:marRight w:val="0"/>
                                      <w:marTop w:val="0"/>
                                      <w:marBottom w:val="0"/>
                                      <w:divBdr>
                                        <w:top w:val="none" w:sz="0" w:space="0" w:color="auto"/>
                                        <w:left w:val="none" w:sz="0" w:space="0" w:color="auto"/>
                                        <w:bottom w:val="none" w:sz="0" w:space="0" w:color="auto"/>
                                        <w:right w:val="none" w:sz="0" w:space="0" w:color="auto"/>
                                      </w:divBdr>
                                    </w:div>
                                    <w:div w:id="2093161590">
                                      <w:marLeft w:val="0"/>
                                      <w:marRight w:val="0"/>
                                      <w:marTop w:val="0"/>
                                      <w:marBottom w:val="0"/>
                                      <w:divBdr>
                                        <w:top w:val="none" w:sz="0" w:space="0" w:color="auto"/>
                                        <w:left w:val="none" w:sz="0" w:space="0" w:color="auto"/>
                                        <w:bottom w:val="none" w:sz="0" w:space="0" w:color="auto"/>
                                        <w:right w:val="none" w:sz="0" w:space="0" w:color="auto"/>
                                      </w:divBdr>
                                    </w:div>
                                    <w:div w:id="1610503993">
                                      <w:marLeft w:val="0"/>
                                      <w:marRight w:val="0"/>
                                      <w:marTop w:val="0"/>
                                      <w:marBottom w:val="0"/>
                                      <w:divBdr>
                                        <w:top w:val="none" w:sz="0" w:space="0" w:color="auto"/>
                                        <w:left w:val="none" w:sz="0" w:space="0" w:color="auto"/>
                                        <w:bottom w:val="none" w:sz="0" w:space="0" w:color="auto"/>
                                        <w:right w:val="none" w:sz="0" w:space="0" w:color="auto"/>
                                      </w:divBdr>
                                    </w:div>
                                    <w:div w:id="1108624525">
                                      <w:marLeft w:val="0"/>
                                      <w:marRight w:val="0"/>
                                      <w:marTop w:val="0"/>
                                      <w:marBottom w:val="0"/>
                                      <w:divBdr>
                                        <w:top w:val="none" w:sz="0" w:space="0" w:color="auto"/>
                                        <w:left w:val="none" w:sz="0" w:space="0" w:color="auto"/>
                                        <w:bottom w:val="none" w:sz="0" w:space="0" w:color="auto"/>
                                        <w:right w:val="none" w:sz="0" w:space="0" w:color="auto"/>
                                      </w:divBdr>
                                    </w:div>
                                    <w:div w:id="1919827070">
                                      <w:marLeft w:val="0"/>
                                      <w:marRight w:val="0"/>
                                      <w:marTop w:val="0"/>
                                      <w:marBottom w:val="0"/>
                                      <w:divBdr>
                                        <w:top w:val="none" w:sz="0" w:space="0" w:color="auto"/>
                                        <w:left w:val="none" w:sz="0" w:space="0" w:color="auto"/>
                                        <w:bottom w:val="none" w:sz="0" w:space="0" w:color="auto"/>
                                        <w:right w:val="none" w:sz="0" w:space="0" w:color="auto"/>
                                      </w:divBdr>
                                    </w:div>
                                    <w:div w:id="11814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8422">
                          <w:marLeft w:val="0"/>
                          <w:marRight w:val="0"/>
                          <w:marTop w:val="0"/>
                          <w:marBottom w:val="0"/>
                          <w:divBdr>
                            <w:top w:val="none" w:sz="0" w:space="0" w:color="auto"/>
                            <w:left w:val="none" w:sz="0" w:space="0" w:color="auto"/>
                            <w:bottom w:val="none" w:sz="0" w:space="0" w:color="auto"/>
                            <w:right w:val="none" w:sz="0" w:space="0" w:color="auto"/>
                          </w:divBdr>
                          <w:divsChild>
                            <w:div w:id="1314599965">
                              <w:marLeft w:val="0"/>
                              <w:marRight w:val="0"/>
                              <w:marTop w:val="0"/>
                              <w:marBottom w:val="0"/>
                              <w:divBdr>
                                <w:top w:val="none" w:sz="0" w:space="0" w:color="auto"/>
                                <w:left w:val="none" w:sz="0" w:space="0" w:color="auto"/>
                                <w:bottom w:val="none" w:sz="0" w:space="0" w:color="auto"/>
                                <w:right w:val="none" w:sz="0" w:space="0" w:color="auto"/>
                              </w:divBdr>
                            </w:div>
                            <w:div w:id="1711613834">
                              <w:marLeft w:val="0"/>
                              <w:marRight w:val="0"/>
                              <w:marTop w:val="0"/>
                              <w:marBottom w:val="0"/>
                              <w:divBdr>
                                <w:top w:val="none" w:sz="0" w:space="0" w:color="auto"/>
                                <w:left w:val="none" w:sz="0" w:space="0" w:color="auto"/>
                                <w:bottom w:val="none" w:sz="0" w:space="0" w:color="auto"/>
                                <w:right w:val="none" w:sz="0" w:space="0" w:color="auto"/>
                              </w:divBdr>
                            </w:div>
                            <w:div w:id="1701777713">
                              <w:marLeft w:val="0"/>
                              <w:marRight w:val="0"/>
                              <w:marTop w:val="0"/>
                              <w:marBottom w:val="0"/>
                              <w:divBdr>
                                <w:top w:val="none" w:sz="0" w:space="0" w:color="auto"/>
                                <w:left w:val="none" w:sz="0" w:space="0" w:color="auto"/>
                                <w:bottom w:val="none" w:sz="0" w:space="0" w:color="auto"/>
                                <w:right w:val="none" w:sz="0" w:space="0" w:color="auto"/>
                              </w:divBdr>
                            </w:div>
                            <w:div w:id="231743821">
                              <w:marLeft w:val="0"/>
                              <w:marRight w:val="0"/>
                              <w:marTop w:val="0"/>
                              <w:marBottom w:val="0"/>
                              <w:divBdr>
                                <w:top w:val="none" w:sz="0" w:space="0" w:color="auto"/>
                                <w:left w:val="none" w:sz="0" w:space="0" w:color="auto"/>
                                <w:bottom w:val="none" w:sz="0" w:space="0" w:color="auto"/>
                                <w:right w:val="none" w:sz="0" w:space="0" w:color="auto"/>
                              </w:divBdr>
                            </w:div>
                            <w:div w:id="325398469">
                              <w:marLeft w:val="0"/>
                              <w:marRight w:val="0"/>
                              <w:marTop w:val="0"/>
                              <w:marBottom w:val="0"/>
                              <w:divBdr>
                                <w:top w:val="none" w:sz="0" w:space="0" w:color="auto"/>
                                <w:left w:val="none" w:sz="0" w:space="0" w:color="auto"/>
                                <w:bottom w:val="none" w:sz="0" w:space="0" w:color="auto"/>
                                <w:right w:val="none" w:sz="0" w:space="0" w:color="auto"/>
                              </w:divBdr>
                            </w:div>
                            <w:div w:id="604846070">
                              <w:marLeft w:val="0"/>
                              <w:marRight w:val="0"/>
                              <w:marTop w:val="0"/>
                              <w:marBottom w:val="0"/>
                              <w:divBdr>
                                <w:top w:val="none" w:sz="0" w:space="0" w:color="auto"/>
                                <w:left w:val="none" w:sz="0" w:space="0" w:color="auto"/>
                                <w:bottom w:val="none" w:sz="0" w:space="0" w:color="auto"/>
                                <w:right w:val="none" w:sz="0" w:space="0" w:color="auto"/>
                              </w:divBdr>
                            </w:div>
                            <w:div w:id="1988434431">
                              <w:marLeft w:val="0"/>
                              <w:marRight w:val="0"/>
                              <w:marTop w:val="0"/>
                              <w:marBottom w:val="0"/>
                              <w:divBdr>
                                <w:top w:val="none" w:sz="0" w:space="0" w:color="auto"/>
                                <w:left w:val="none" w:sz="0" w:space="0" w:color="auto"/>
                                <w:bottom w:val="none" w:sz="0" w:space="0" w:color="auto"/>
                                <w:right w:val="none" w:sz="0" w:space="0" w:color="auto"/>
                              </w:divBdr>
                            </w:div>
                            <w:div w:id="1735467848">
                              <w:marLeft w:val="0"/>
                              <w:marRight w:val="0"/>
                              <w:marTop w:val="0"/>
                              <w:marBottom w:val="0"/>
                              <w:divBdr>
                                <w:top w:val="none" w:sz="0" w:space="0" w:color="auto"/>
                                <w:left w:val="none" w:sz="0" w:space="0" w:color="auto"/>
                                <w:bottom w:val="none" w:sz="0" w:space="0" w:color="auto"/>
                                <w:right w:val="none" w:sz="0" w:space="0" w:color="auto"/>
                              </w:divBdr>
                            </w:div>
                            <w:div w:id="581378396">
                              <w:marLeft w:val="0"/>
                              <w:marRight w:val="0"/>
                              <w:marTop w:val="0"/>
                              <w:marBottom w:val="0"/>
                              <w:divBdr>
                                <w:top w:val="none" w:sz="0" w:space="0" w:color="auto"/>
                                <w:left w:val="none" w:sz="0" w:space="0" w:color="auto"/>
                                <w:bottom w:val="none" w:sz="0" w:space="0" w:color="auto"/>
                                <w:right w:val="none" w:sz="0" w:space="0" w:color="auto"/>
                              </w:divBdr>
                            </w:div>
                            <w:div w:id="1330981898">
                              <w:marLeft w:val="0"/>
                              <w:marRight w:val="0"/>
                              <w:marTop w:val="0"/>
                              <w:marBottom w:val="0"/>
                              <w:divBdr>
                                <w:top w:val="none" w:sz="0" w:space="0" w:color="auto"/>
                                <w:left w:val="none" w:sz="0" w:space="0" w:color="auto"/>
                                <w:bottom w:val="none" w:sz="0" w:space="0" w:color="auto"/>
                                <w:right w:val="none" w:sz="0" w:space="0" w:color="auto"/>
                              </w:divBdr>
                            </w:div>
                            <w:div w:id="313267958">
                              <w:marLeft w:val="0"/>
                              <w:marRight w:val="0"/>
                              <w:marTop w:val="0"/>
                              <w:marBottom w:val="0"/>
                              <w:divBdr>
                                <w:top w:val="none" w:sz="0" w:space="0" w:color="auto"/>
                                <w:left w:val="none" w:sz="0" w:space="0" w:color="auto"/>
                                <w:bottom w:val="none" w:sz="0" w:space="0" w:color="auto"/>
                                <w:right w:val="none" w:sz="0" w:space="0" w:color="auto"/>
                              </w:divBdr>
                            </w:div>
                            <w:div w:id="1508061977">
                              <w:marLeft w:val="0"/>
                              <w:marRight w:val="0"/>
                              <w:marTop w:val="0"/>
                              <w:marBottom w:val="0"/>
                              <w:divBdr>
                                <w:top w:val="none" w:sz="0" w:space="0" w:color="auto"/>
                                <w:left w:val="none" w:sz="0" w:space="0" w:color="auto"/>
                                <w:bottom w:val="none" w:sz="0" w:space="0" w:color="auto"/>
                                <w:right w:val="none" w:sz="0" w:space="0" w:color="auto"/>
                              </w:divBdr>
                            </w:div>
                            <w:div w:id="17692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emergingadulthood" TargetMode="External"/><Relationship Id="rId13" Type="http://schemas.openxmlformats.org/officeDocument/2006/relationships/hyperlink" Target="http://www.slate.com/blogs/lexicon_valley/2014/08/22/emerging_adults_teenagers_adolescents_and_other_words_for_young_people_are.html" TargetMode="External"/><Relationship Id="rId18" Type="http://schemas.openxmlformats.org/officeDocument/2006/relationships/hyperlink" Target="http://www.nytimes.com/2010/08/22/magazine/22Adulthood-t.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a.org/transforminglibraries/future/trends/emergingadulthood" TargetMode="External"/><Relationship Id="rId12" Type="http://schemas.openxmlformats.org/officeDocument/2006/relationships/hyperlink" Target="http://www.ala.org/transforminglibraries/future/trends/emergingadulthood" TargetMode="External"/><Relationship Id="rId17" Type="http://schemas.openxmlformats.org/officeDocument/2006/relationships/hyperlink" Target="http://www.wsj.com/articles/SB10001424052748704409004576146321725889448" TargetMode="External"/><Relationship Id="rId2" Type="http://schemas.openxmlformats.org/officeDocument/2006/relationships/settings" Target="settings.xml"/><Relationship Id="rId16" Type="http://schemas.openxmlformats.org/officeDocument/2006/relationships/hyperlink" Target="http://blogs.scientificamerican.com/brainwaves/2012/08/29/the-neuroscience-of-twenty-something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a.org/transforminglibraries/future/trends/emergingadulthood" TargetMode="External"/><Relationship Id="rId11" Type="http://schemas.openxmlformats.org/officeDocument/2006/relationships/hyperlink" Target="http://www.ala.org/transforminglibraries/future/trends/emergingadulthood" TargetMode="External"/><Relationship Id="rId5" Type="http://schemas.openxmlformats.org/officeDocument/2006/relationships/hyperlink" Target="http://www.jeffreyarnett.com/articles/ARNETT_Emerging_Adulthood_theory.pdf" TargetMode="External"/><Relationship Id="rId15" Type="http://schemas.openxmlformats.org/officeDocument/2006/relationships/hyperlink" Target="http://blog.thenest.com/2012/05/17/all-grown-up-have-you-completed-the-5-milestones-of-adulthood/" TargetMode="External"/><Relationship Id="rId10" Type="http://schemas.openxmlformats.org/officeDocument/2006/relationships/hyperlink" Target="http://www.ala.org/transforminglibraries/future/trends/emergingadulthood" TargetMode="External"/><Relationship Id="rId19" Type="http://schemas.openxmlformats.org/officeDocument/2006/relationships/hyperlink" Target="http://www.nytimes.com/2012/05/31/opinion/the-parent-trap.html" TargetMode="External"/><Relationship Id="rId4" Type="http://schemas.openxmlformats.org/officeDocument/2006/relationships/image" Target="media/image1.png"/><Relationship Id="rId9" Type="http://schemas.openxmlformats.org/officeDocument/2006/relationships/hyperlink" Target="http://www.ala.org/transforminglibraries/future/trends/emergingadulthood" TargetMode="External"/><Relationship Id="rId14" Type="http://schemas.openxmlformats.org/officeDocument/2006/relationships/hyperlink" Target="http://blogs.scientificamerican.com/brainwaves/2012/08/29/the-neuroscience-of-twenty-some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3</cp:revision>
  <dcterms:created xsi:type="dcterms:W3CDTF">2015-08-29T17:56:00Z</dcterms:created>
  <dcterms:modified xsi:type="dcterms:W3CDTF">2015-08-31T17:43:00Z</dcterms:modified>
</cp:coreProperties>
</file>